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자동자산관리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자산 관리 기준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기준일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통화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원화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다음 점검일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자산별 평가 내역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53"/>
        <w:gridCol w:w="1353"/>
        <w:gridCol w:w="1353"/>
        <w:gridCol w:w="1353"/>
        <w:gridCol w:w="1353"/>
        <w:gridCol w:w="1353"/>
        <w:gridCol w:w="1353"/>
        <w:gridCol w:w="1353"/>
      </w:tblGrid>
      <w:tr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자산 구분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금융기관·보관처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계좌·상품명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수량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취득 금액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평가 금액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평가 손익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기준일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예금·현금</w:t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국내 투자</w:t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해외 투자</w:t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연금</w:t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보험·기타</w:t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  <w:t>실물자산</w:t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부채·상환 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53"/>
        <w:gridCol w:w="1353"/>
        <w:gridCol w:w="1353"/>
        <w:gridCol w:w="1353"/>
        <w:gridCol w:w="1353"/>
        <w:gridCol w:w="1353"/>
        <w:gridCol w:w="1353"/>
        <w:gridCol w:w="1353"/>
      </w:tblGrid>
      <w:tr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부채 구분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금융기관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잔액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금리·조건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월 상환액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상환일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점검일</w:t>
            </w:r>
          </w:p>
        </w:tc>
        <w:tc>
          <w:tcPr>
            <w:tcW w:type="dxa" w:w="1353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4"/>
              </w:rPr>
              <w:t>비고</w:t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  <w:tr>
        <w:trPr>
          <w:trHeight w:val="567"/>
        </w:trPr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  <w:tc>
          <w:tcPr>
            <w:tcW w:type="dxa" w:w="1353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4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자산 현황 요약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64"/>
        <w:gridCol w:w="2164"/>
        <w:gridCol w:w="2164"/>
        <w:gridCol w:w="2164"/>
        <w:gridCol w:w="2164"/>
      </w:tblGrid>
      <w:tr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총자산</w:t>
            </w:r>
          </w:p>
        </w:tc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총부채</w:t>
            </w:r>
          </w:p>
        </w:tc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순자산</w:t>
            </w:r>
          </w:p>
        </w:tc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변동 사유</w:t>
            </w:r>
          </w:p>
        </w:tc>
        <w:tc>
          <w:tcPr>
            <w:tcW w:type="dxa" w:w="216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확인자</w:t>
            </w:r>
          </w:p>
        </w:tc>
      </w:tr>
      <w:tr>
        <w:trPr>
          <w:trHeight w:val="567"/>
        </w:trPr>
        <w:tc>
          <w:tcPr>
            <w:tcW w:type="dxa" w:w="216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16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16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16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16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평가 기준·누락 계좌·다음 확인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